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Communication Criterion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55"/>
        <w:gridCol w:w="8145"/>
        <w:tblGridChange w:id="0">
          <w:tblGrid>
            <w:gridCol w:w="855"/>
            <w:gridCol w:w="8145"/>
          </w:tblGrid>
        </w:tblGridChange>
      </w:tblGrid>
      <w:tr>
        <w:trPr>
          <w:trHeight w:val="74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b w:val="1"/>
                <w:sz w:val="16"/>
                <w:szCs w:val="16"/>
                <w:shd w:fill="e5e5e5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e5e5e5" w:val="clear"/>
                <w:rtl w:val="0"/>
              </w:rPr>
              <w:t xml:space="preserve">Communication – 4 marks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jc w:val="both"/>
              <w:rPr>
                <w:sz w:val="16"/>
                <w:szCs w:val="16"/>
                <w:shd w:fill="e5e5e5" w:val="clear"/>
              </w:rPr>
            </w:pPr>
            <w:r w:rsidDel="00000000" w:rsidR="00000000" w:rsidRPr="00000000">
              <w:rPr>
                <w:sz w:val="16"/>
                <w:szCs w:val="16"/>
                <w:shd w:fill="e5e5e5" w:val="clear"/>
                <w:rtl w:val="0"/>
              </w:rPr>
              <w:t xml:space="preserve">This criterion assesses whether the investigation is presented and reported in a way that supports effective communication of the focus, process and outcomes.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b w:val="1"/>
                <w:sz w:val="16"/>
                <w:szCs w:val="16"/>
                <w:shd w:fill="cccccc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cccccc" w:val="clear"/>
                <w:rtl w:val="0"/>
              </w:rPr>
              <w:t xml:space="preserve">Mark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b w:val="1"/>
                <w:sz w:val="16"/>
                <w:szCs w:val="16"/>
                <w:shd w:fill="cccccc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cccccc" w:val="clear"/>
                <w:rtl w:val="0"/>
              </w:rPr>
              <w:t xml:space="preserve">Descriptor</w:t>
            </w:r>
          </w:p>
        </w:tc>
      </w:tr>
      <w:tr>
        <w:trPr>
          <w:trHeight w:val="3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student’s report does not reach a standard described by the descriptors below.</w:t>
            </w:r>
          </w:p>
        </w:tc>
      </w:tr>
      <w:tr>
        <w:trPr>
          <w:trHeight w:val="17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1-2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presentation of the investigation is unclear, making it difficult to understand the focus, process and outcomes.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is not well-structured and is unclear: the necessary information on focus, process and outcomes is missing or is presented in an incoherent or disorganized way.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understanding of the focus, process and outcomes of the investigation is obscured by the presence of inappropriate or irrelevant information.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There are many errors in the use of subject-specific terminology and conventions*.</w:t>
            </w:r>
          </w:p>
        </w:tc>
      </w:tr>
      <w:tr>
        <w:trPr>
          <w:trHeight w:val="18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ind w:left="100" w:firstLine="0"/>
              <w:contextualSpacing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3-4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 presentation of the investigation is clear. Any errors do not hamper the understanding of the focus, process and outcomes.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is well-structured and is unclear: the necessary information on focus, process and outcomes is present and is presented in a coherent way.</w:t>
            </w:r>
          </w:p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report is relevant and concise, thereby facilitating a ready understanding of the focus, process and outcomes of the investigation.</w:t>
            </w:r>
          </w:p>
          <w:p w:rsidR="00000000" w:rsidDel="00000000" w:rsidP="00000000" w:rsidRDefault="00000000" w:rsidRPr="00000000">
            <w:pPr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use of subject-specific terminology and conventions is appropriate and correct. Any errors do not hamper understanding.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80" w:lineRule="auto"/>
              <w:ind w:left="100" w:firstLine="0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*For example, incorrect/missing labeling of graphs, tables, images; use of units, decimal places. For issues of referencing and citations refer to the “Academic honesty” section.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